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2652" w14:textId="77777777" w:rsidR="00E96C21" w:rsidRPr="00E96C21" w:rsidRDefault="00E96C21" w:rsidP="00E96C21">
      <w:pPr>
        <w:rPr>
          <w:rFonts w:ascii="Arial" w:eastAsia="Arial" w:hAnsi="Arial" w:cs="Arial"/>
          <w:b/>
          <w:color w:val="FF8F15"/>
          <w:sz w:val="44"/>
          <w:szCs w:val="44"/>
          <w:lang w:val="en-GB"/>
        </w:rPr>
      </w:pPr>
      <w:r w:rsidRPr="00E96C21">
        <w:rPr>
          <w:rFonts w:ascii="Arial" w:eastAsia="Arial" w:hAnsi="Arial" w:cs="Arial"/>
          <w:b/>
          <w:bCs/>
          <w:color w:val="FF8F15"/>
          <w:sz w:val="44"/>
          <w:szCs w:val="44"/>
          <w:lang w:val="en-GB"/>
        </w:rPr>
        <w:t>Minority Groups</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00000004" w14:textId="77777777" w:rsidR="009423EF" w:rsidRPr="001B7236" w:rsidRDefault="00CE1AEA">
      <w:pPr>
        <w:rPr>
          <w:rFonts w:ascii="Arial" w:eastAsia="Arial" w:hAnsi="Arial" w:cs="Arial"/>
          <w:b/>
          <w:color w:val="FF8F15"/>
          <w:sz w:val="28"/>
          <w:szCs w:val="28"/>
        </w:rPr>
      </w:pPr>
      <w:r w:rsidRPr="001B7236">
        <w:rPr>
          <w:rFonts w:ascii="Arial" w:eastAsia="Arial" w:hAnsi="Arial" w:cs="Arial"/>
          <w:b/>
          <w:color w:val="FF8F15"/>
          <w:sz w:val="28"/>
          <w:szCs w:val="28"/>
        </w:rPr>
        <w:t>Message Framing</w:t>
      </w:r>
    </w:p>
    <w:p w14:paraId="0000001A" w14:textId="524504A7" w:rsidR="009423EF" w:rsidRPr="00E96C21" w:rsidRDefault="00E96C21">
      <w:pPr>
        <w:rPr>
          <w:rFonts w:ascii="Arial" w:eastAsia="Arial" w:hAnsi="Arial" w:cs="Arial"/>
          <w:sz w:val="28"/>
          <w:szCs w:val="28"/>
          <w:lang w:val="en-GB"/>
        </w:rPr>
      </w:pPr>
      <w:r w:rsidRPr="00E96C21">
        <w:rPr>
          <w:rFonts w:ascii="Arial" w:eastAsia="Arial" w:hAnsi="Arial" w:cs="Arial"/>
          <w:b/>
          <w:bCs/>
          <w:sz w:val="28"/>
          <w:szCs w:val="28"/>
          <w:lang w:val="en-GB"/>
        </w:rPr>
        <w:t xml:space="preserve">Education can be an equaliser for marginalised minority groups — the poor, refugees, migrants, ethnic or linguistic minorities, and those that live in rural or fragile areas. </w:t>
      </w:r>
      <w:r w:rsidRPr="00E96C21">
        <w:rPr>
          <w:rFonts w:ascii="Arial" w:eastAsia="Arial" w:hAnsi="Arial" w:cs="Arial"/>
          <w:sz w:val="28"/>
          <w:szCs w:val="28"/>
          <w:lang w:val="en-GB"/>
        </w:rPr>
        <w:t>Education promotes tolerance, reduces conflict, and builds healthy relationships across divides. When education is tailored for these minority groups, learning outcomes are increased, money is saved, and our society is healthier.</w:t>
      </w:r>
    </w:p>
    <w:p w14:paraId="34B2EA46" w14:textId="5F99CB87" w:rsidR="00461440" w:rsidRDefault="00461440">
      <w:pPr>
        <w:rPr>
          <w:rFonts w:ascii="Arial" w:eastAsia="Arial" w:hAnsi="Arial" w:cs="Arial"/>
          <w:bCs/>
          <w:sz w:val="20"/>
          <w:szCs w:val="20"/>
        </w:rPr>
      </w:pPr>
    </w:p>
    <w:p w14:paraId="2A21D9F4" w14:textId="77777777" w:rsidR="008A2E2E" w:rsidRDefault="008A2E2E">
      <w:pPr>
        <w:rPr>
          <w:rFonts w:ascii="Arial" w:eastAsia="Arial" w:hAnsi="Arial" w:cs="Arial"/>
          <w:bCs/>
          <w:sz w:val="20"/>
          <w:szCs w:val="20"/>
        </w:rPr>
      </w:pPr>
    </w:p>
    <w:p w14:paraId="2E704D9E" w14:textId="1A313BE1" w:rsidR="00461440" w:rsidRPr="001B7236" w:rsidRDefault="00461440" w:rsidP="00FC6C81">
      <w:pPr>
        <w:rPr>
          <w:rFonts w:ascii="Arial" w:eastAsia="Arial" w:hAnsi="Arial" w:cs="Arial"/>
          <w:b/>
          <w:color w:val="FF8F15"/>
        </w:rPr>
      </w:pPr>
      <w:r w:rsidRPr="001B7236">
        <w:rPr>
          <w:rFonts w:ascii="Arial" w:eastAsia="Arial" w:hAnsi="Arial" w:cs="Arial"/>
          <w:b/>
          <w:color w:val="FF8F15"/>
        </w:rPr>
        <w:t>Key challenges</w:t>
      </w:r>
    </w:p>
    <w:p w14:paraId="6DD2DF4F" w14:textId="77777777" w:rsidR="008A2E2E" w:rsidRPr="0026447A" w:rsidRDefault="008A2E2E" w:rsidP="00FC6C81">
      <w:pPr>
        <w:rPr>
          <w:rFonts w:ascii="Arial" w:eastAsia="Arial" w:hAnsi="Arial" w:cs="Arial"/>
          <w:b/>
          <w:color w:val="DA354E"/>
        </w:rPr>
      </w:pPr>
    </w:p>
    <w:p w14:paraId="6CB860FC" w14:textId="77777777" w:rsidR="00E96C21" w:rsidRDefault="00E96C21" w:rsidP="00E96C21">
      <w:pPr>
        <w:pStyle w:val="ListParagraph"/>
        <w:numPr>
          <w:ilvl w:val="0"/>
          <w:numId w:val="29"/>
        </w:numPr>
      </w:pPr>
      <w:r w:rsidRPr="00E96C21">
        <w:rPr>
          <w:rFonts w:ascii="Arial" w:hAnsi="Arial" w:cs="Arial"/>
          <w:b/>
          <w:bCs/>
          <w:color w:val="000000"/>
          <w:sz w:val="22"/>
          <w:szCs w:val="22"/>
        </w:rPr>
        <w:t xml:space="preserve">Teaching children in their native language can result in lower drop-out rates, higher retention, and increased academic achievement. </w:t>
      </w:r>
      <w:r w:rsidRPr="00E96C21">
        <w:rPr>
          <w:rFonts w:ascii="Arial" w:hAnsi="Arial" w:cs="Arial"/>
          <w:color w:val="000000"/>
          <w:sz w:val="22"/>
          <w:szCs w:val="22"/>
        </w:rPr>
        <w:t>Half of all children in low- and middle-income countries are not taught in their native language, many of them belonging to a minority group. A number of studies show a near zero level of understanding by children not being taught in their mother tongue. Children in Mali taught in their native language were five times less likely to repeat the year and more than three times less likely to drop out of school (</w:t>
      </w:r>
      <w:hyperlink r:id="rId8" w:history="1">
        <w:r w:rsidRPr="00E96C21">
          <w:rPr>
            <w:rStyle w:val="Hyperlink"/>
            <w:rFonts w:ascii="Arial" w:hAnsi="Arial" w:cs="Arial"/>
            <w:color w:val="1155CC"/>
            <w:sz w:val="22"/>
            <w:szCs w:val="22"/>
          </w:rPr>
          <w:t>International Commission on Financing Global Education Opportunity</w:t>
        </w:r>
      </w:hyperlink>
      <w:r w:rsidRPr="00E96C21">
        <w:rPr>
          <w:rFonts w:ascii="Arial" w:hAnsi="Arial" w:cs="Arial"/>
          <w:color w:val="000000"/>
          <w:sz w:val="22"/>
          <w:szCs w:val="22"/>
        </w:rPr>
        <w:t xml:space="preserve">, 2016; </w:t>
      </w:r>
      <w:hyperlink r:id="rId9" w:history="1">
        <w:r w:rsidRPr="00E96C21">
          <w:rPr>
            <w:rStyle w:val="Hyperlink"/>
            <w:rFonts w:ascii="Arial" w:hAnsi="Arial" w:cs="Arial"/>
            <w:color w:val="1155CC"/>
            <w:sz w:val="22"/>
            <w:szCs w:val="22"/>
          </w:rPr>
          <w:t>Smits et al.</w:t>
        </w:r>
      </w:hyperlink>
      <w:r w:rsidRPr="00E96C21">
        <w:rPr>
          <w:rFonts w:ascii="Arial" w:hAnsi="Arial" w:cs="Arial"/>
          <w:color w:val="000000"/>
          <w:sz w:val="22"/>
          <w:szCs w:val="22"/>
        </w:rPr>
        <w:t xml:space="preserve">, 2008; </w:t>
      </w:r>
      <w:hyperlink r:id="rId10" w:history="1">
        <w:proofErr w:type="spellStart"/>
        <w:r w:rsidRPr="00E96C21">
          <w:rPr>
            <w:rStyle w:val="Hyperlink"/>
            <w:rFonts w:ascii="Arial" w:hAnsi="Arial" w:cs="Arial"/>
            <w:color w:val="1155CC"/>
            <w:sz w:val="22"/>
            <w:szCs w:val="22"/>
          </w:rPr>
          <w:t>Alidou</w:t>
        </w:r>
        <w:proofErr w:type="spellEnd"/>
        <w:r w:rsidRPr="00E96C21">
          <w:rPr>
            <w:rStyle w:val="Hyperlink"/>
            <w:rFonts w:ascii="Arial" w:hAnsi="Arial" w:cs="Arial"/>
            <w:color w:val="1155CC"/>
            <w:sz w:val="22"/>
            <w:szCs w:val="22"/>
          </w:rPr>
          <w:t xml:space="preserve"> et al.</w:t>
        </w:r>
      </w:hyperlink>
      <w:r w:rsidRPr="00E96C21">
        <w:rPr>
          <w:rFonts w:ascii="Arial" w:hAnsi="Arial" w:cs="Arial"/>
          <w:color w:val="000000"/>
          <w:sz w:val="22"/>
          <w:szCs w:val="22"/>
        </w:rPr>
        <w:t>, 2006)</w:t>
      </w:r>
    </w:p>
    <w:p w14:paraId="3F085CC6" w14:textId="5BFFCF1B" w:rsidR="00E82BD2" w:rsidRDefault="00E82BD2" w:rsidP="00FC6C81">
      <w:pPr>
        <w:ind w:left="720"/>
        <w:rPr>
          <w:rFonts w:ascii="Arial" w:eastAsia="Arial" w:hAnsi="Arial" w:cs="Arial"/>
          <w:color w:val="000000"/>
          <w:sz w:val="22"/>
          <w:szCs w:val="22"/>
        </w:rPr>
      </w:pPr>
    </w:p>
    <w:p w14:paraId="255E6FAE" w14:textId="687A8334" w:rsidR="00461440" w:rsidRPr="002D228C" w:rsidRDefault="00461440" w:rsidP="00E82BD2">
      <w:pPr>
        <w:ind w:left="720"/>
        <w:rPr>
          <w:rFonts w:ascii="Arial" w:eastAsia="Arial" w:hAnsi="Arial" w:cs="Arial"/>
          <w:color w:val="000000"/>
          <w:sz w:val="22"/>
          <w:szCs w:val="22"/>
        </w:rPr>
      </w:pPr>
      <w:r w:rsidRPr="002D228C">
        <w:rPr>
          <w:rFonts w:ascii="Arial" w:eastAsia="Arial" w:hAnsi="Arial" w:cs="Arial"/>
          <w:color w:val="000000"/>
          <w:sz w:val="22"/>
          <w:szCs w:val="22"/>
        </w:rPr>
        <w:tab/>
      </w:r>
      <w:r w:rsidRPr="002D228C">
        <w:rPr>
          <w:rFonts w:ascii="Arial" w:eastAsia="Arial" w:hAnsi="Arial" w:cs="Arial"/>
          <w:color w:val="000000"/>
          <w:sz w:val="22"/>
          <w:szCs w:val="22"/>
        </w:rPr>
        <w:tab/>
      </w:r>
    </w:p>
    <w:p w14:paraId="24B89448" w14:textId="16316504" w:rsidR="0026447A" w:rsidRPr="001B7236" w:rsidRDefault="00E82BD2" w:rsidP="00E82BD2">
      <w:pPr>
        <w:rPr>
          <w:rFonts w:ascii="Arial" w:eastAsia="Arial" w:hAnsi="Arial" w:cs="Arial"/>
          <w:b/>
          <w:color w:val="FF8F15"/>
        </w:rPr>
      </w:pPr>
      <w:r w:rsidRPr="001B7236">
        <w:rPr>
          <w:rFonts w:ascii="Arial" w:eastAsia="Arial" w:hAnsi="Arial" w:cs="Arial"/>
          <w:b/>
          <w:color w:val="FF8F15"/>
        </w:rPr>
        <w:t>Making the case</w:t>
      </w:r>
    </w:p>
    <w:p w14:paraId="7FFD0BB6" w14:textId="77777777" w:rsidR="001B7236" w:rsidRPr="008A2E2E" w:rsidRDefault="001B7236" w:rsidP="00E82BD2">
      <w:pPr>
        <w:rPr>
          <w:rFonts w:ascii="Arial" w:eastAsia="Arial" w:hAnsi="Arial" w:cs="Arial"/>
          <w:b/>
          <w:color w:val="34A9B3"/>
        </w:rPr>
      </w:pPr>
    </w:p>
    <w:p w14:paraId="02A8AA9E" w14:textId="4B4137F2"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Education promotes religious tolerance.</w:t>
      </w:r>
      <w:r>
        <w:rPr>
          <w:rFonts w:ascii="Arial" w:hAnsi="Arial" w:cs="Arial"/>
          <w:color w:val="000000"/>
          <w:sz w:val="22"/>
          <w:szCs w:val="22"/>
        </w:rPr>
        <w:t xml:space="preserve"> In Arab States, people with secondary education were 14% less likely to express intolerant attitudes towards people of a different religion (</w:t>
      </w:r>
      <w:hyperlink r:id="rId11" w:history="1">
        <w:r>
          <w:rPr>
            <w:rStyle w:val="Hyperlink"/>
            <w:rFonts w:ascii="Arial" w:hAnsi="Arial" w:cs="Arial"/>
            <w:color w:val="1155CC"/>
            <w:sz w:val="22"/>
            <w:szCs w:val="22"/>
          </w:rPr>
          <w:t>GMR/</w:t>
        </w:r>
        <w:proofErr w:type="spellStart"/>
        <w:r>
          <w:rPr>
            <w:rStyle w:val="Hyperlink"/>
            <w:rFonts w:ascii="Arial" w:hAnsi="Arial" w:cs="Arial"/>
            <w:color w:val="1155CC"/>
            <w:sz w:val="22"/>
            <w:szCs w:val="22"/>
          </w:rPr>
          <w:t>Chzhen</w:t>
        </w:r>
        <w:proofErr w:type="spellEnd"/>
      </w:hyperlink>
      <w:r>
        <w:rPr>
          <w:rFonts w:ascii="Arial" w:hAnsi="Arial" w:cs="Arial"/>
          <w:color w:val="000000"/>
          <w:sz w:val="22"/>
          <w:szCs w:val="22"/>
        </w:rPr>
        <w:t>, 2014/2013).</w:t>
      </w:r>
      <w:r>
        <w:rPr>
          <w:rFonts w:ascii="Arial" w:hAnsi="Arial" w:cs="Arial"/>
          <w:color w:val="000000"/>
          <w:sz w:val="22"/>
          <w:szCs w:val="22"/>
        </w:rPr>
        <w:br/>
      </w:r>
    </w:p>
    <w:p w14:paraId="1BA61E02" w14:textId="200C14DC"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Education advances tolerance for immigrant children. </w:t>
      </w:r>
      <w:r>
        <w:rPr>
          <w:rFonts w:ascii="Arial" w:hAnsi="Arial" w:cs="Arial"/>
          <w:color w:val="000000"/>
          <w:sz w:val="22"/>
          <w:szCs w:val="22"/>
        </w:rPr>
        <w:t>Higher educational attainment is correlated with more positive attitudes towards immigrants. People with secondary education were 16% less likely to express intolerance towards immigrants in Central and Eastern Europe in comparison to those without a secondary education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"https://www.ncbi.nlm.nih.gov/pmc/articles/PMC6842942/" </w:instrText>
      </w:r>
      <w:r>
        <w:rPr>
          <w:rFonts w:ascii="Arial" w:hAnsi="Arial" w:cs="Arial"/>
          <w:color w:val="000000"/>
          <w:sz w:val="22"/>
          <w:szCs w:val="22"/>
        </w:rPr>
        <w:fldChar w:fldCharType="separate"/>
      </w:r>
      <w:r>
        <w:rPr>
          <w:rStyle w:val="Hyperlink"/>
          <w:rFonts w:ascii="Arial" w:hAnsi="Arial" w:cs="Arial"/>
          <w:color w:val="1155CC"/>
          <w:sz w:val="22"/>
          <w:szCs w:val="22"/>
        </w:rPr>
        <w:t>Borgonovi</w:t>
      </w:r>
      <w:proofErr w:type="spellEnd"/>
      <w:r>
        <w:rPr>
          <w:rStyle w:val="Hyperlink"/>
          <w:rFonts w:ascii="Arial" w:hAnsi="Arial" w:cs="Arial"/>
          <w:color w:val="1155CC"/>
          <w:sz w:val="22"/>
          <w:szCs w:val="22"/>
        </w:rPr>
        <w:t xml:space="preserve"> &amp; </w:t>
      </w:r>
      <w:proofErr w:type="spellStart"/>
      <w:r>
        <w:rPr>
          <w:rStyle w:val="Hyperlink"/>
          <w:rFonts w:ascii="Arial" w:hAnsi="Arial" w:cs="Arial"/>
          <w:color w:val="1155CC"/>
          <w:sz w:val="22"/>
          <w:szCs w:val="22"/>
        </w:rPr>
        <w:t>Pokropek</w:t>
      </w:r>
      <w:proofErr w:type="spellEnd"/>
      <w:r>
        <w:rPr>
          <w:rFonts w:ascii="Arial" w:hAnsi="Arial" w:cs="Arial"/>
          <w:color w:val="000000"/>
          <w:sz w:val="22"/>
          <w:szCs w:val="22"/>
        </w:rPr>
        <w:fldChar w:fldCharType="end"/>
      </w:r>
      <w:r>
        <w:rPr>
          <w:rFonts w:ascii="Arial" w:hAnsi="Arial" w:cs="Arial"/>
          <w:color w:val="000000"/>
          <w:sz w:val="22"/>
          <w:szCs w:val="22"/>
        </w:rPr>
        <w:t>, 2019; (</w:t>
      </w:r>
      <w:hyperlink r:id="rId12" w:history="1">
        <w:r>
          <w:rPr>
            <w:rStyle w:val="Hyperlink"/>
            <w:rFonts w:ascii="Arial" w:hAnsi="Arial" w:cs="Arial"/>
            <w:color w:val="1155CC"/>
            <w:sz w:val="22"/>
            <w:szCs w:val="22"/>
          </w:rPr>
          <w:t>GMR/</w:t>
        </w:r>
        <w:proofErr w:type="spellStart"/>
        <w:r>
          <w:rPr>
            <w:rStyle w:val="Hyperlink"/>
            <w:rFonts w:ascii="Arial" w:hAnsi="Arial" w:cs="Arial"/>
            <w:color w:val="1155CC"/>
            <w:sz w:val="22"/>
            <w:szCs w:val="22"/>
          </w:rPr>
          <w:t>Chzhen</w:t>
        </w:r>
        <w:proofErr w:type="spellEnd"/>
      </w:hyperlink>
      <w:r>
        <w:rPr>
          <w:rFonts w:ascii="Arial" w:hAnsi="Arial" w:cs="Arial"/>
          <w:color w:val="000000"/>
          <w:sz w:val="22"/>
          <w:szCs w:val="22"/>
        </w:rPr>
        <w:t>, 2014/2013).</w:t>
      </w:r>
      <w:r>
        <w:rPr>
          <w:rFonts w:ascii="Arial" w:hAnsi="Arial" w:cs="Arial"/>
          <w:color w:val="000000"/>
          <w:sz w:val="22"/>
          <w:szCs w:val="22"/>
        </w:rPr>
        <w:br/>
      </w:r>
    </w:p>
    <w:p w14:paraId="4ED9E574" w14:textId="0A88FC83" w:rsidR="00E96C21" w:rsidRDefault="00E96C21" w:rsidP="00E96C21">
      <w:pPr>
        <w:pStyle w:val="NormalWeb"/>
        <w:numPr>
          <w:ilvl w:val="0"/>
          <w:numId w:val="3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Education bolsters racial tolerance. </w:t>
      </w:r>
      <w:r>
        <w:rPr>
          <w:rFonts w:ascii="Arial" w:hAnsi="Arial" w:cs="Arial"/>
          <w:color w:val="000000"/>
          <w:sz w:val="22"/>
          <w:szCs w:val="22"/>
        </w:rPr>
        <w:t>In Latin America, people with a secondary education were half as likely to express intolerance for people of different race than those with only a primary education (</w:t>
      </w:r>
      <w:hyperlink r:id="rId13" w:history="1">
        <w:r>
          <w:rPr>
            <w:rStyle w:val="Hyperlink"/>
            <w:rFonts w:ascii="Arial" w:hAnsi="Arial" w:cs="Arial"/>
            <w:color w:val="1155CC"/>
            <w:sz w:val="22"/>
            <w:szCs w:val="22"/>
          </w:rPr>
          <w:t>EFA GMR</w:t>
        </w:r>
      </w:hyperlink>
      <w:r>
        <w:rPr>
          <w:rFonts w:ascii="Arial" w:hAnsi="Arial" w:cs="Arial"/>
          <w:color w:val="000000"/>
          <w:sz w:val="22"/>
          <w:szCs w:val="22"/>
        </w:rPr>
        <w:t>, 2014).</w:t>
      </w:r>
      <w:r>
        <w:rPr>
          <w:rFonts w:ascii="Arial" w:hAnsi="Arial" w:cs="Arial"/>
          <w:color w:val="000000"/>
          <w:sz w:val="22"/>
          <w:szCs w:val="22"/>
        </w:rPr>
        <w:br/>
      </w:r>
    </w:p>
    <w:p w14:paraId="184482DD" w14:textId="77777777"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Increased education increases tolerance of sexual orientation. </w:t>
      </w:r>
      <w:r>
        <w:rPr>
          <w:rFonts w:ascii="Arial" w:hAnsi="Arial" w:cs="Arial"/>
          <w:color w:val="000000"/>
          <w:sz w:val="22"/>
          <w:szCs w:val="22"/>
        </w:rPr>
        <w:t>In Argentina, people with a secondary education were nearly one-quarter less likely to express homophobic attitudes than those with only a primary education (</w:t>
      </w:r>
      <w:hyperlink r:id="rId14" w:history="1">
        <w:r>
          <w:rPr>
            <w:rStyle w:val="Hyperlink"/>
            <w:rFonts w:ascii="Arial" w:hAnsi="Arial" w:cs="Arial"/>
            <w:color w:val="1155CC"/>
            <w:sz w:val="22"/>
            <w:szCs w:val="22"/>
          </w:rPr>
          <w:t>EFA GMR</w:t>
        </w:r>
      </w:hyperlink>
      <w:r>
        <w:rPr>
          <w:rFonts w:ascii="Arial" w:hAnsi="Arial" w:cs="Arial"/>
          <w:color w:val="000000"/>
          <w:sz w:val="22"/>
          <w:szCs w:val="22"/>
        </w:rPr>
        <w:t>, 2014).</w:t>
      </w:r>
      <w:r>
        <w:rPr>
          <w:rFonts w:ascii="Arial" w:hAnsi="Arial" w:cs="Arial"/>
          <w:color w:val="000000"/>
          <w:sz w:val="22"/>
          <w:szCs w:val="22"/>
        </w:rPr>
        <w:br/>
      </w:r>
      <w:r>
        <w:rPr>
          <w:rFonts w:ascii="Arial" w:hAnsi="Arial" w:cs="Arial"/>
          <w:color w:val="000000"/>
          <w:sz w:val="22"/>
          <w:szCs w:val="22"/>
        </w:rPr>
        <w:br/>
      </w:r>
    </w:p>
    <w:p w14:paraId="175D0518" w14:textId="444BF718"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lastRenderedPageBreak/>
        <w:t xml:space="preserve">When education is more equal for minority groups, the probability of conflict attributed to xenophobia or stereotypes of minority groups is reduced. </w:t>
      </w:r>
      <w:r>
        <w:rPr>
          <w:rFonts w:ascii="Arial" w:hAnsi="Arial" w:cs="Arial"/>
          <w:color w:val="000000"/>
          <w:sz w:val="22"/>
          <w:szCs w:val="22"/>
          <w:shd w:val="clear" w:color="auto" w:fill="FFFFFF"/>
        </w:rPr>
        <w:t>In sub-Saharan Africa, the risk of conflict in the areas with the highest education inequality is almost double that of the areas with the lowest education inequality (</w:t>
      </w:r>
      <w:hyperlink r:id="rId15" w:history="1">
        <w:r>
          <w:rPr>
            <w:rStyle w:val="Hyperlink"/>
            <w:rFonts w:ascii="Arial" w:hAnsi="Arial" w:cs="Arial"/>
            <w:color w:val="1155CC"/>
            <w:sz w:val="22"/>
            <w:szCs w:val="22"/>
          </w:rPr>
          <w:t>Smith</w:t>
        </w:r>
      </w:hyperlink>
      <w:r>
        <w:rPr>
          <w:rFonts w:ascii="Arial" w:hAnsi="Arial" w:cs="Arial"/>
          <w:color w:val="000000"/>
          <w:sz w:val="22"/>
          <w:szCs w:val="22"/>
        </w:rPr>
        <w:t xml:space="preserve">, 2009; </w:t>
      </w:r>
      <w:hyperlink r:id="rId16" w:history="1">
        <w:r>
          <w:rPr>
            <w:rStyle w:val="Hyperlink"/>
            <w:rFonts w:ascii="Arial" w:hAnsi="Arial" w:cs="Arial"/>
            <w:color w:val="1155CC"/>
            <w:sz w:val="22"/>
            <w:szCs w:val="22"/>
            <w:shd w:val="clear" w:color="auto" w:fill="FFFFFF"/>
          </w:rPr>
          <w:t>EFA GMR</w:t>
        </w:r>
      </w:hyperlink>
      <w:r>
        <w:rPr>
          <w:rFonts w:ascii="Arial" w:hAnsi="Arial" w:cs="Arial"/>
          <w:color w:val="000000"/>
          <w:sz w:val="22"/>
          <w:szCs w:val="22"/>
          <w:shd w:val="clear" w:color="auto" w:fill="FFFFFF"/>
        </w:rPr>
        <w:t>, 2013).</w:t>
      </w:r>
      <w:r>
        <w:rPr>
          <w:rFonts w:ascii="Arial" w:hAnsi="Arial" w:cs="Arial"/>
          <w:color w:val="000000"/>
          <w:sz w:val="22"/>
          <w:szCs w:val="22"/>
          <w:shd w:val="clear" w:color="auto" w:fill="FFFFFF"/>
        </w:rPr>
        <w:br/>
      </w:r>
    </w:p>
    <w:p w14:paraId="66993505" w14:textId="315334D4"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Integrated schools can </w:t>
      </w:r>
      <w:r>
        <w:rPr>
          <w:rFonts w:ascii="Arial" w:hAnsi="Arial" w:cs="Arial"/>
          <w:b/>
          <w:bCs/>
          <w:color w:val="000000"/>
          <w:sz w:val="22"/>
          <w:szCs w:val="22"/>
          <w:shd w:val="clear" w:color="auto" w:fill="FFFFFF"/>
        </w:rPr>
        <w:t xml:space="preserve">play an important role in </w:t>
      </w:r>
      <w:r>
        <w:rPr>
          <w:rFonts w:ascii="Arial" w:hAnsi="Arial" w:cs="Arial"/>
          <w:b/>
          <w:bCs/>
          <w:color w:val="000000"/>
          <w:sz w:val="22"/>
          <w:szCs w:val="22"/>
        </w:rPr>
        <w:t>building productive, sustainable relationships across political, religious, and ethnic divides in post-conflict</w:t>
      </w:r>
      <w:r>
        <w:rPr>
          <w:rFonts w:ascii="Arial" w:hAnsi="Arial" w:cs="Arial"/>
          <w:b/>
          <w:bCs/>
          <w:color w:val="000000"/>
          <w:sz w:val="22"/>
          <w:szCs w:val="22"/>
          <w:shd w:val="clear" w:color="auto" w:fill="FFFFFF"/>
        </w:rPr>
        <w:t xml:space="preserve"> communities.</w:t>
      </w:r>
      <w:r>
        <w:rPr>
          <w:rFonts w:ascii="Arial" w:hAnsi="Arial" w:cs="Arial"/>
          <w:color w:val="000000"/>
          <w:sz w:val="22"/>
          <w:szCs w:val="22"/>
          <w:shd w:val="clear" w:color="auto" w:fill="FFFFFF"/>
        </w:rPr>
        <w:t xml:space="preserve"> Integrated schools can positively influence minority group identity, attitudes towards inclusion, and a sense of compassion. Arab-Jewish schools in Israel have been successful in reconciling conflicting narratives by guiding conversation that </w:t>
      </w:r>
      <w:proofErr w:type="spellStart"/>
      <w:r>
        <w:rPr>
          <w:rFonts w:ascii="Arial" w:hAnsi="Arial" w:cs="Arial"/>
          <w:color w:val="000000"/>
          <w:sz w:val="22"/>
          <w:szCs w:val="22"/>
          <w:shd w:val="clear" w:color="auto" w:fill="FFFFFF"/>
        </w:rPr>
        <w:t>recognises</w:t>
      </w:r>
      <w:proofErr w:type="spellEnd"/>
      <w:r>
        <w:rPr>
          <w:rFonts w:ascii="Arial" w:hAnsi="Arial" w:cs="Arial"/>
          <w:color w:val="000000"/>
          <w:sz w:val="22"/>
          <w:szCs w:val="22"/>
          <w:shd w:val="clear" w:color="auto" w:fill="FFFFFF"/>
        </w:rPr>
        <w:t xml:space="preserve"> ethnic, religious and other differences (</w:t>
      </w:r>
      <w:hyperlink r:id="rId17" w:history="1">
        <w:r>
          <w:rPr>
            <w:rStyle w:val="Hyperlink"/>
            <w:rFonts w:ascii="Arial" w:hAnsi="Arial" w:cs="Arial"/>
            <w:color w:val="1155CC"/>
            <w:sz w:val="22"/>
            <w:szCs w:val="22"/>
            <w:shd w:val="clear" w:color="auto" w:fill="FFFFFF"/>
          </w:rPr>
          <w:t>McGlynn</w:t>
        </w:r>
      </w:hyperlink>
      <w:r>
        <w:rPr>
          <w:rFonts w:ascii="Arial" w:hAnsi="Arial" w:cs="Arial"/>
          <w:color w:val="000000"/>
          <w:sz w:val="22"/>
          <w:szCs w:val="22"/>
          <w:shd w:val="clear" w:color="auto" w:fill="FFFFFF"/>
        </w:rPr>
        <w:t xml:space="preserve">, 2004; </w:t>
      </w:r>
      <w:hyperlink r:id="rId18" w:history="1">
        <w:proofErr w:type="spellStart"/>
        <w:r>
          <w:rPr>
            <w:rStyle w:val="Hyperlink"/>
            <w:rFonts w:ascii="Arial" w:hAnsi="Arial" w:cs="Arial"/>
            <w:color w:val="1155CC"/>
            <w:sz w:val="22"/>
            <w:szCs w:val="22"/>
            <w:shd w:val="clear" w:color="auto" w:fill="FFFFFF"/>
          </w:rPr>
          <w:t>Bekerman</w:t>
        </w:r>
        <w:proofErr w:type="spellEnd"/>
      </w:hyperlink>
      <w:r>
        <w:rPr>
          <w:rFonts w:ascii="Arial" w:hAnsi="Arial" w:cs="Arial"/>
          <w:color w:val="000000"/>
          <w:sz w:val="22"/>
          <w:szCs w:val="22"/>
          <w:shd w:val="clear" w:color="auto" w:fill="FFFFFF"/>
        </w:rPr>
        <w:t xml:space="preserve">, 2012; </w:t>
      </w:r>
      <w:hyperlink r:id="rId19" w:history="1">
        <w:r>
          <w:rPr>
            <w:rStyle w:val="Hyperlink"/>
            <w:rFonts w:ascii="Arial" w:hAnsi="Arial" w:cs="Arial"/>
            <w:color w:val="1155CC"/>
            <w:sz w:val="22"/>
            <w:szCs w:val="22"/>
            <w:shd w:val="clear" w:color="auto" w:fill="FFFFFF"/>
          </w:rPr>
          <w:t xml:space="preserve">Alexander and </w:t>
        </w:r>
        <w:proofErr w:type="spellStart"/>
        <w:r>
          <w:rPr>
            <w:rStyle w:val="Hyperlink"/>
            <w:rFonts w:ascii="Arial" w:hAnsi="Arial" w:cs="Arial"/>
            <w:color w:val="1155CC"/>
            <w:sz w:val="22"/>
            <w:szCs w:val="22"/>
            <w:shd w:val="clear" w:color="auto" w:fill="FFFFFF"/>
          </w:rPr>
          <w:t>Christia</w:t>
        </w:r>
        <w:proofErr w:type="spellEnd"/>
      </w:hyperlink>
      <w:r>
        <w:rPr>
          <w:rFonts w:ascii="Arial" w:hAnsi="Arial" w:cs="Arial"/>
          <w:color w:val="000000"/>
          <w:sz w:val="22"/>
          <w:szCs w:val="22"/>
          <w:shd w:val="clear" w:color="auto" w:fill="FFFFFF"/>
        </w:rPr>
        <w:t>, 2011).</w:t>
      </w:r>
      <w:r>
        <w:rPr>
          <w:rFonts w:ascii="Arial" w:hAnsi="Arial" w:cs="Arial"/>
          <w:color w:val="000000"/>
          <w:sz w:val="22"/>
          <w:szCs w:val="22"/>
          <w:shd w:val="clear" w:color="auto" w:fill="FFFFFF"/>
        </w:rPr>
        <w:br/>
      </w:r>
    </w:p>
    <w:p w14:paraId="1E93EFB6" w14:textId="601E6C13"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Open classroom environments can advance the rights of minority groups.</w:t>
      </w:r>
      <w:r>
        <w:rPr>
          <w:rFonts w:ascii="Arial" w:hAnsi="Arial" w:cs="Arial"/>
          <w:color w:val="000000"/>
          <w:sz w:val="22"/>
          <w:szCs w:val="22"/>
        </w:rPr>
        <w:t xml:space="preserve"> Students who perceived their classroom environment as open were more likely to endorse equal rights for all ethnic groups and believe that this was a benefit for democracy. An open classroom climate can foster political participation by students from disadvantaged backgrounds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"https://link.springer.com/chapter/10.1007/978-3-319-78692-6_4" </w:instrText>
      </w:r>
      <w:r>
        <w:rPr>
          <w:rFonts w:ascii="Arial" w:hAnsi="Arial" w:cs="Arial"/>
          <w:color w:val="000000"/>
          <w:sz w:val="22"/>
          <w:szCs w:val="22"/>
        </w:rPr>
        <w:fldChar w:fldCharType="separate"/>
      </w:r>
      <w:r>
        <w:rPr>
          <w:rStyle w:val="Hyperlink"/>
          <w:rFonts w:ascii="Arial" w:hAnsi="Arial" w:cs="Arial"/>
          <w:color w:val="1155CC"/>
          <w:sz w:val="22"/>
          <w:szCs w:val="22"/>
        </w:rPr>
        <w:t>Treviño</w:t>
      </w:r>
      <w:proofErr w:type="spellEnd"/>
      <w:r>
        <w:rPr>
          <w:rStyle w:val="Hyperlink"/>
          <w:rFonts w:ascii="Arial" w:hAnsi="Arial" w:cs="Arial"/>
          <w:color w:val="1155CC"/>
          <w:sz w:val="22"/>
          <w:szCs w:val="22"/>
        </w:rPr>
        <w:t xml:space="preserve"> et al.</w:t>
      </w:r>
      <w:r>
        <w:rPr>
          <w:rFonts w:ascii="Arial" w:hAnsi="Arial" w:cs="Arial"/>
          <w:color w:val="000000"/>
          <w:sz w:val="22"/>
          <w:szCs w:val="22"/>
        </w:rPr>
        <w:fldChar w:fldCharType="end"/>
      </w:r>
      <w:r>
        <w:rPr>
          <w:rFonts w:ascii="Arial" w:hAnsi="Arial" w:cs="Arial"/>
          <w:color w:val="000000"/>
          <w:sz w:val="22"/>
          <w:szCs w:val="22"/>
        </w:rPr>
        <w:t xml:space="preserve">, 2018; </w:t>
      </w:r>
      <w:hyperlink r:id="rId20" w:history="1">
        <w:r>
          <w:rPr>
            <w:rStyle w:val="Hyperlink"/>
            <w:rFonts w:ascii="Arial" w:hAnsi="Arial" w:cs="Arial"/>
            <w:color w:val="1155CC"/>
            <w:sz w:val="22"/>
            <w:szCs w:val="22"/>
          </w:rPr>
          <w:t>GEM</w:t>
        </w:r>
      </w:hyperlink>
      <w:r>
        <w:rPr>
          <w:rFonts w:ascii="Arial" w:hAnsi="Arial" w:cs="Arial"/>
          <w:color w:val="000000"/>
          <w:sz w:val="22"/>
          <w:szCs w:val="22"/>
        </w:rPr>
        <w:t xml:space="preserve">, 2019; </w:t>
      </w:r>
      <w:hyperlink r:id="rId21" w:history="1">
        <w:r>
          <w:rPr>
            <w:rStyle w:val="Hyperlink"/>
            <w:rFonts w:ascii="Arial" w:hAnsi="Arial" w:cs="Arial"/>
            <w:color w:val="1155CC"/>
            <w:sz w:val="22"/>
            <w:szCs w:val="22"/>
          </w:rPr>
          <w:t>Campbell</w:t>
        </w:r>
      </w:hyperlink>
      <w:r>
        <w:rPr>
          <w:rFonts w:ascii="Arial" w:hAnsi="Arial" w:cs="Arial"/>
          <w:color w:val="000000"/>
          <w:sz w:val="22"/>
          <w:szCs w:val="22"/>
        </w:rPr>
        <w:t>, 2008). </w:t>
      </w:r>
      <w:r>
        <w:rPr>
          <w:rFonts w:ascii="Arial" w:hAnsi="Arial" w:cs="Arial"/>
          <w:color w:val="000000"/>
          <w:sz w:val="22"/>
          <w:szCs w:val="22"/>
        </w:rPr>
        <w:br/>
      </w:r>
    </w:p>
    <w:p w14:paraId="2C5FEC5D" w14:textId="0A25048D" w:rsidR="00E96C21" w:rsidRDefault="00E96C21" w:rsidP="00E96C2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Learning incomes improve for minority groups when they are provided with equal instructional materials, particularly when relevant and appropriate to their culture.</w:t>
      </w:r>
      <w:r>
        <w:rPr>
          <w:rFonts w:ascii="Arial" w:hAnsi="Arial" w:cs="Arial"/>
          <w:color w:val="000000"/>
          <w:sz w:val="22"/>
          <w:szCs w:val="22"/>
        </w:rPr>
        <w:t xml:space="preserve"> More than half of the achievement gap between indigenous and non-indigenous speakers in Guatemala can be attributed to indigenous children attending schools with fewer instructional materials, a non-mother-tongue curriculum, and fewer qualified teachers. When books with stories that were culturally applicable for ethnic minority students were used in the Philippines, reading and language test scores rose by 40% (</w:t>
      </w:r>
      <w:hyperlink r:id="rId22" w:history="1">
        <w:r>
          <w:rPr>
            <w:rStyle w:val="Hyperlink"/>
            <w:rFonts w:ascii="Arial" w:hAnsi="Arial" w:cs="Arial"/>
            <w:color w:val="1155CC"/>
            <w:sz w:val="22"/>
            <w:szCs w:val="22"/>
          </w:rPr>
          <w:t>McEwan and Trowbridge</w:t>
        </w:r>
      </w:hyperlink>
      <w:r>
        <w:rPr>
          <w:rFonts w:ascii="Arial" w:hAnsi="Arial" w:cs="Arial"/>
          <w:color w:val="000000"/>
          <w:sz w:val="22"/>
          <w:szCs w:val="22"/>
        </w:rPr>
        <w:t xml:space="preserve">, 2007; </w:t>
      </w:r>
      <w:hyperlink r:id="rId23" w:history="1">
        <w:r>
          <w:rPr>
            <w:rStyle w:val="Hyperlink"/>
            <w:rFonts w:ascii="Arial" w:hAnsi="Arial" w:cs="Arial"/>
            <w:color w:val="1155CC"/>
            <w:sz w:val="22"/>
            <w:szCs w:val="22"/>
          </w:rPr>
          <w:t>Dekker</w:t>
        </w:r>
      </w:hyperlink>
      <w:r>
        <w:rPr>
          <w:rFonts w:ascii="Arial" w:hAnsi="Arial" w:cs="Arial"/>
          <w:color w:val="000000"/>
          <w:sz w:val="22"/>
          <w:szCs w:val="22"/>
        </w:rPr>
        <w:t>, 2003). </w:t>
      </w:r>
      <w:r>
        <w:rPr>
          <w:rFonts w:ascii="Arial" w:hAnsi="Arial" w:cs="Arial"/>
          <w:color w:val="000000"/>
          <w:sz w:val="22"/>
          <w:szCs w:val="22"/>
        </w:rPr>
        <w:br/>
      </w:r>
    </w:p>
    <w:p w14:paraId="76FB7E0E" w14:textId="77777777" w:rsidR="00E96C21" w:rsidRDefault="00E96C21" w:rsidP="00E96C21">
      <w:pPr>
        <w:pStyle w:val="NormalWeb"/>
        <w:numPr>
          <w:ilvl w:val="0"/>
          <w:numId w:val="30"/>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Adapting education for minority groups saves money.</w:t>
      </w:r>
      <w:r>
        <w:rPr>
          <w:rFonts w:ascii="Arial" w:hAnsi="Arial" w:cs="Arial"/>
          <w:color w:val="000000"/>
          <w:sz w:val="22"/>
          <w:szCs w:val="22"/>
        </w:rPr>
        <w:t xml:space="preserve"> Switching to mother-tongue instruction is cost effective. In Guatemala, native-language-based bilingual schooling saved US$5.6 million a year through reduced drop out and grade repetition, even with higher </w:t>
      </w:r>
      <w:proofErr w:type="spellStart"/>
      <w:r>
        <w:rPr>
          <w:rFonts w:ascii="Arial" w:hAnsi="Arial" w:cs="Arial"/>
          <w:color w:val="000000"/>
          <w:sz w:val="22"/>
          <w:szCs w:val="22"/>
        </w:rPr>
        <w:t>start up</w:t>
      </w:r>
      <w:proofErr w:type="spellEnd"/>
      <w:r>
        <w:rPr>
          <w:rFonts w:ascii="Arial" w:hAnsi="Arial" w:cs="Arial"/>
          <w:color w:val="000000"/>
          <w:sz w:val="22"/>
          <w:szCs w:val="22"/>
        </w:rPr>
        <w:t xml:space="preserve"> costs for teacher training and materials. In Mali, the cost of educating a student in non-native French is estimated to cost nearly one-third more due to repetition and drop out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"http://documents1.worldbank.org/curated/en/557031468280149614/text/391530MLI1education1PUBLIC1.txt" </w:instrText>
      </w:r>
      <w:r>
        <w:rPr>
          <w:rFonts w:ascii="Arial" w:hAnsi="Arial" w:cs="Arial"/>
          <w:color w:val="000000"/>
          <w:sz w:val="22"/>
          <w:szCs w:val="22"/>
        </w:rPr>
        <w:fldChar w:fldCharType="separate"/>
      </w:r>
      <w:r>
        <w:rPr>
          <w:rStyle w:val="Hyperlink"/>
          <w:rFonts w:ascii="Arial" w:hAnsi="Arial" w:cs="Arial"/>
          <w:color w:val="1155CC"/>
          <w:sz w:val="22"/>
          <w:szCs w:val="22"/>
        </w:rPr>
        <w:t>Partinos</w:t>
      </w:r>
      <w:proofErr w:type="spellEnd"/>
      <w:r>
        <w:rPr>
          <w:rStyle w:val="Hyperlink"/>
          <w:rFonts w:ascii="Arial" w:hAnsi="Arial" w:cs="Arial"/>
          <w:color w:val="1155CC"/>
          <w:sz w:val="22"/>
          <w:szCs w:val="22"/>
        </w:rPr>
        <w:t xml:space="preserve"> and Velez</w:t>
      </w:r>
      <w:r>
        <w:rPr>
          <w:rFonts w:ascii="Arial" w:hAnsi="Arial" w:cs="Arial"/>
          <w:color w:val="000000"/>
          <w:sz w:val="22"/>
          <w:szCs w:val="22"/>
        </w:rPr>
        <w:fldChar w:fldCharType="end"/>
      </w:r>
      <w:r>
        <w:rPr>
          <w:rFonts w:ascii="Arial" w:hAnsi="Arial" w:cs="Arial"/>
          <w:color w:val="000000"/>
          <w:sz w:val="22"/>
          <w:szCs w:val="22"/>
        </w:rPr>
        <w:t>, 2009)</w:t>
      </w:r>
    </w:p>
    <w:p w14:paraId="291FC9DC" w14:textId="77777777" w:rsidR="00E96C21" w:rsidRPr="00E96C21" w:rsidRDefault="00E96C21" w:rsidP="00E96C21">
      <w:pPr>
        <w:pStyle w:val="ListParagraph"/>
        <w:numPr>
          <w:ilvl w:val="0"/>
          <w:numId w:val="30"/>
        </w:numPr>
        <w:rPr>
          <w:rFonts w:ascii="Times New Roman" w:hAnsi="Times New Roman" w:cs="Times New Roman"/>
        </w:rPr>
      </w:pPr>
      <w:r w:rsidRPr="00E96C21">
        <w:rPr>
          <w:rFonts w:ascii="Arial" w:hAnsi="Arial" w:cs="Arial"/>
          <w:b/>
          <w:bCs/>
          <w:color w:val="000000"/>
          <w:sz w:val="22"/>
          <w:szCs w:val="22"/>
        </w:rPr>
        <w:t>Early childhood education is particularly important for minority groups.</w:t>
      </w:r>
      <w:r w:rsidRPr="00E96C21">
        <w:rPr>
          <w:rFonts w:ascii="Arial" w:hAnsi="Arial" w:cs="Arial"/>
          <w:color w:val="000000"/>
          <w:sz w:val="22"/>
          <w:szCs w:val="22"/>
        </w:rPr>
        <w:t xml:space="preserve"> Community and family-based early childhood </w:t>
      </w:r>
      <w:proofErr w:type="spellStart"/>
      <w:r w:rsidRPr="00E96C21">
        <w:rPr>
          <w:rFonts w:ascii="Arial" w:hAnsi="Arial" w:cs="Arial"/>
          <w:color w:val="000000"/>
          <w:sz w:val="22"/>
          <w:szCs w:val="22"/>
        </w:rPr>
        <w:t>programmes</w:t>
      </w:r>
      <w:proofErr w:type="spellEnd"/>
      <w:r w:rsidRPr="00E96C21">
        <w:rPr>
          <w:rFonts w:ascii="Arial" w:hAnsi="Arial" w:cs="Arial"/>
          <w:color w:val="000000"/>
          <w:sz w:val="22"/>
          <w:szCs w:val="22"/>
        </w:rPr>
        <w:t xml:space="preserve"> allow caregivers to come together to discuss and resolve the challenges they face. In doing so, they also help forge and sustain relationships across social, ethnic, religious, and political divides (</w:t>
      </w:r>
      <w:hyperlink r:id="rId24" w:history="1">
        <w:r w:rsidRPr="00E96C21">
          <w:rPr>
            <w:rStyle w:val="Hyperlink"/>
            <w:rFonts w:ascii="Arial" w:hAnsi="Arial" w:cs="Arial"/>
            <w:color w:val="1155CC"/>
            <w:sz w:val="22"/>
            <w:szCs w:val="22"/>
          </w:rPr>
          <w:t>UNICEF</w:t>
        </w:r>
      </w:hyperlink>
      <w:r w:rsidRPr="00E96C21">
        <w:rPr>
          <w:rFonts w:ascii="Arial" w:hAnsi="Arial" w:cs="Arial"/>
          <w:color w:val="000000"/>
          <w:sz w:val="22"/>
          <w:szCs w:val="22"/>
        </w:rPr>
        <w:t>, 2015).</w:t>
      </w:r>
    </w:p>
    <w:p w14:paraId="6035BA16" w14:textId="5301006F" w:rsidR="0042053E" w:rsidRPr="00E82BD2" w:rsidRDefault="00E82BD2" w:rsidP="0026447A">
      <w:pPr>
        <w:ind w:left="360"/>
        <w:rPr>
          <w:rFonts w:ascii="Arial" w:eastAsia="Arial" w:hAnsi="Arial" w:cs="Arial"/>
          <w:color w:val="000000"/>
          <w:sz w:val="22"/>
          <w:szCs w:val="22"/>
        </w:rPr>
      </w:pPr>
      <w:r w:rsidRPr="002D228C">
        <w:rPr>
          <w:rFonts w:ascii="Arial" w:eastAsia="Arial" w:hAnsi="Arial" w:cs="Arial"/>
          <w:color w:val="000000"/>
          <w:sz w:val="22"/>
          <w:szCs w:val="22"/>
        </w:rPr>
        <w:tab/>
      </w:r>
      <w:r w:rsidRPr="002D228C">
        <w:rPr>
          <w:rFonts w:ascii="Arial" w:eastAsia="Arial" w:hAnsi="Arial" w:cs="Arial"/>
          <w:color w:val="000000"/>
          <w:sz w:val="22"/>
          <w:szCs w:val="22"/>
        </w:rPr>
        <w:tab/>
      </w:r>
    </w:p>
    <w:p w14:paraId="6E11090E" w14:textId="77777777" w:rsidR="00434742" w:rsidRDefault="00434742" w:rsidP="00285EEC">
      <w:pPr>
        <w:rPr>
          <w:rFonts w:ascii="Arial" w:eastAsia="Arial" w:hAnsi="Arial" w:cs="Arial"/>
          <w:color w:val="2A2A2A"/>
          <w:sz w:val="20"/>
          <w:szCs w:val="20"/>
        </w:rPr>
      </w:pPr>
    </w:p>
    <w:p w14:paraId="0C3BAFB0" w14:textId="77777777" w:rsidR="0042053E" w:rsidRPr="001B7236" w:rsidRDefault="0042053E" w:rsidP="0042053E">
      <w:pPr>
        <w:rPr>
          <w:rFonts w:ascii="Arial" w:eastAsia="Arial" w:hAnsi="Arial" w:cs="Arial"/>
          <w:b/>
          <w:color w:val="FF8F15"/>
        </w:rPr>
      </w:pPr>
      <w:r w:rsidRPr="001B7236">
        <w:rPr>
          <w:rFonts w:ascii="Arial" w:eastAsia="Arial" w:hAnsi="Arial" w:cs="Arial"/>
          <w:b/>
          <w:color w:val="FF8F15"/>
        </w:rPr>
        <w:t>Key Talking Points</w:t>
      </w:r>
    </w:p>
    <w:p w14:paraId="68CFAF7A" w14:textId="77777777" w:rsidR="0042053E" w:rsidRDefault="0042053E" w:rsidP="0042053E">
      <w:pPr>
        <w:rPr>
          <w:rFonts w:ascii="Arial" w:eastAsia="Arial" w:hAnsi="Arial" w:cs="Arial"/>
          <w:sz w:val="20"/>
          <w:szCs w:val="20"/>
        </w:rPr>
      </w:pPr>
    </w:p>
    <w:p w14:paraId="76441378" w14:textId="77777777" w:rsidR="00E96C21" w:rsidRPr="00E96C21" w:rsidRDefault="00E96C21" w:rsidP="00E96C21">
      <w:pPr>
        <w:pStyle w:val="ListParagraph"/>
        <w:numPr>
          <w:ilvl w:val="0"/>
          <w:numId w:val="31"/>
        </w:numPr>
        <w:rPr>
          <w:rFonts w:ascii="Times New Roman" w:eastAsia="Times New Roman" w:hAnsi="Times New Roman" w:cs="Times New Roman"/>
          <w:color w:val="000000"/>
          <w:lang w:val="en-GB" w:eastAsia="en-GB"/>
        </w:rPr>
      </w:pPr>
      <w:r w:rsidRPr="00E96C21">
        <w:rPr>
          <w:rFonts w:ascii="Arial" w:eastAsia="Times New Roman" w:hAnsi="Arial" w:cs="Arial"/>
          <w:color w:val="000000"/>
          <w:sz w:val="22"/>
          <w:szCs w:val="22"/>
          <w:lang w:val="en-GB" w:eastAsia="en-GB"/>
        </w:rPr>
        <w:t>Education promotes tolerance - of religion, race, sexual orientation and immigrants.</w:t>
      </w:r>
    </w:p>
    <w:p w14:paraId="2CABD456" w14:textId="77777777" w:rsidR="00E96C21" w:rsidRPr="00E96C21" w:rsidRDefault="00E96C21" w:rsidP="00E96C21">
      <w:pPr>
        <w:rPr>
          <w:rFonts w:ascii="Times New Roman" w:eastAsia="Times New Roman" w:hAnsi="Times New Roman" w:cs="Times New Roman"/>
          <w:color w:val="000000"/>
          <w:lang w:val="en-GB" w:eastAsia="en-GB"/>
        </w:rPr>
      </w:pPr>
    </w:p>
    <w:p w14:paraId="56FDB6E4" w14:textId="77777777" w:rsidR="00E96C21" w:rsidRPr="00E96C21" w:rsidRDefault="00E96C21" w:rsidP="00E96C21">
      <w:pPr>
        <w:pStyle w:val="ListParagraph"/>
        <w:numPr>
          <w:ilvl w:val="0"/>
          <w:numId w:val="31"/>
        </w:numPr>
        <w:rPr>
          <w:rFonts w:ascii="Times New Roman" w:eastAsia="Times New Roman" w:hAnsi="Times New Roman" w:cs="Times New Roman"/>
          <w:color w:val="000000"/>
          <w:lang w:val="en-GB" w:eastAsia="en-GB"/>
        </w:rPr>
      </w:pPr>
      <w:r w:rsidRPr="00E96C21">
        <w:rPr>
          <w:rFonts w:ascii="Arial" w:eastAsia="Times New Roman" w:hAnsi="Arial" w:cs="Arial"/>
          <w:color w:val="000000"/>
          <w:sz w:val="22"/>
          <w:szCs w:val="22"/>
          <w:lang w:val="en-GB" w:eastAsia="en-GB"/>
        </w:rPr>
        <w:t>Equal education for minority groups reduces the chances of conflict.</w:t>
      </w:r>
    </w:p>
    <w:p w14:paraId="5E5E25E3" w14:textId="77777777" w:rsidR="00E96C21" w:rsidRPr="00E96C21" w:rsidRDefault="00E96C21" w:rsidP="00E96C21">
      <w:pPr>
        <w:rPr>
          <w:rFonts w:ascii="Times New Roman" w:eastAsia="Times New Roman" w:hAnsi="Times New Roman" w:cs="Times New Roman"/>
          <w:color w:val="000000"/>
          <w:lang w:val="en-GB" w:eastAsia="en-GB"/>
        </w:rPr>
      </w:pPr>
    </w:p>
    <w:p w14:paraId="5CE0663B" w14:textId="440613CB" w:rsidR="00E96C21" w:rsidRPr="00E96C21" w:rsidRDefault="00E96C21" w:rsidP="00E96C21">
      <w:pPr>
        <w:pStyle w:val="ListParagraph"/>
        <w:numPr>
          <w:ilvl w:val="0"/>
          <w:numId w:val="31"/>
        </w:numPr>
        <w:rPr>
          <w:rFonts w:ascii="Times New Roman" w:eastAsia="Times New Roman" w:hAnsi="Times New Roman" w:cs="Times New Roman"/>
          <w:color w:val="000000"/>
          <w:lang w:val="en-GB" w:eastAsia="en-GB"/>
        </w:rPr>
      </w:pPr>
      <w:r w:rsidRPr="00E96C21">
        <w:rPr>
          <w:rFonts w:ascii="Arial" w:eastAsia="Times New Roman" w:hAnsi="Arial" w:cs="Arial"/>
          <w:color w:val="000000"/>
          <w:sz w:val="22"/>
          <w:szCs w:val="22"/>
          <w:lang w:val="en-GB" w:eastAsia="en-GB"/>
        </w:rPr>
        <w:t xml:space="preserve">Integrated schools can play a key role in building relationships across political, </w:t>
      </w:r>
      <w:proofErr w:type="gramStart"/>
      <w:r w:rsidRPr="00E96C21">
        <w:rPr>
          <w:rFonts w:ascii="Arial" w:eastAsia="Times New Roman" w:hAnsi="Arial" w:cs="Arial"/>
          <w:color w:val="000000"/>
          <w:sz w:val="22"/>
          <w:szCs w:val="22"/>
          <w:lang w:val="en-GB" w:eastAsia="en-GB"/>
        </w:rPr>
        <w:t>religious</w:t>
      </w:r>
      <w:proofErr w:type="gramEnd"/>
      <w:r w:rsidRPr="00E96C21">
        <w:rPr>
          <w:rFonts w:ascii="Arial" w:eastAsia="Times New Roman" w:hAnsi="Arial" w:cs="Arial"/>
          <w:color w:val="000000"/>
          <w:sz w:val="22"/>
          <w:szCs w:val="22"/>
          <w:lang w:val="en-GB" w:eastAsia="en-GB"/>
        </w:rPr>
        <w:t xml:space="preserve"> and et</w:t>
      </w:r>
      <w:r w:rsidR="00586674">
        <w:rPr>
          <w:rFonts w:ascii="Arial" w:eastAsia="Times New Roman" w:hAnsi="Arial" w:cs="Arial"/>
          <w:color w:val="000000"/>
          <w:sz w:val="22"/>
          <w:szCs w:val="22"/>
          <w:lang w:val="en-GB" w:eastAsia="en-GB"/>
        </w:rPr>
        <w:t>h</w:t>
      </w:r>
      <w:r w:rsidRPr="00E96C21">
        <w:rPr>
          <w:rFonts w:ascii="Arial" w:eastAsia="Times New Roman" w:hAnsi="Arial" w:cs="Arial"/>
          <w:color w:val="000000"/>
          <w:sz w:val="22"/>
          <w:szCs w:val="22"/>
          <w:lang w:val="en-GB" w:eastAsia="en-GB"/>
        </w:rPr>
        <w:t>nic divides.</w:t>
      </w:r>
    </w:p>
    <w:p w14:paraId="27BECD70" w14:textId="77777777" w:rsidR="00E96C21" w:rsidRPr="00E96C21" w:rsidRDefault="00E96C21" w:rsidP="00E96C21">
      <w:pPr>
        <w:rPr>
          <w:rFonts w:ascii="Times New Roman" w:eastAsia="Times New Roman" w:hAnsi="Times New Roman" w:cs="Times New Roman"/>
          <w:color w:val="000000"/>
          <w:lang w:val="en-GB" w:eastAsia="en-GB"/>
        </w:rPr>
      </w:pPr>
    </w:p>
    <w:p w14:paraId="5DDBF9A8" w14:textId="77777777" w:rsidR="00E96C21" w:rsidRPr="00E96C21" w:rsidRDefault="00E96C21" w:rsidP="00E96C21">
      <w:pPr>
        <w:pStyle w:val="ListParagraph"/>
        <w:numPr>
          <w:ilvl w:val="0"/>
          <w:numId w:val="31"/>
        </w:numPr>
        <w:rPr>
          <w:rFonts w:ascii="Times New Roman" w:eastAsia="Times New Roman" w:hAnsi="Times New Roman" w:cs="Times New Roman"/>
          <w:color w:val="000000"/>
          <w:lang w:val="en-GB" w:eastAsia="en-GB"/>
        </w:rPr>
      </w:pPr>
      <w:r w:rsidRPr="00E96C21">
        <w:rPr>
          <w:rFonts w:ascii="Arial" w:eastAsia="Times New Roman" w:hAnsi="Arial" w:cs="Arial"/>
          <w:color w:val="000000"/>
          <w:sz w:val="22"/>
          <w:szCs w:val="22"/>
          <w:lang w:val="en-GB" w:eastAsia="en-GB"/>
        </w:rPr>
        <w:t>Children taught in their native language, and with culturally relevant materials, are more likely to stay in school and achieve better results.</w:t>
      </w:r>
    </w:p>
    <w:p w14:paraId="52F4966D" w14:textId="1C39F3A0" w:rsidR="0042053E" w:rsidRPr="00E96C21" w:rsidRDefault="0042053E" w:rsidP="00E96C21">
      <w:pPr>
        <w:rPr>
          <w:rFonts w:ascii="Arial" w:eastAsia="Arial" w:hAnsi="Arial" w:cs="Arial"/>
          <w:sz w:val="22"/>
          <w:szCs w:val="22"/>
        </w:rPr>
      </w:pPr>
    </w:p>
    <w:sectPr w:rsidR="0042053E" w:rsidRPr="00E96C21" w:rsidSect="00DE0A94">
      <w:headerReference w:type="default" r:id="rId25"/>
      <w:footerReference w:type="default" r:id="rId26"/>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46FE" w14:textId="77777777" w:rsidR="00335C4C" w:rsidRDefault="00335C4C" w:rsidP="003F1804">
      <w:r>
        <w:separator/>
      </w:r>
    </w:p>
  </w:endnote>
  <w:endnote w:type="continuationSeparator" w:id="0">
    <w:p w14:paraId="4AADF280" w14:textId="77777777" w:rsidR="00335C4C" w:rsidRDefault="00335C4C"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111E2A02" w:rsidR="00D006BC" w:rsidRPr="00285EEC" w:rsidRDefault="00C63EA5" w:rsidP="00D006BC">
    <w:pPr>
      <w:rPr>
        <w:rFonts w:ascii="Arial" w:hAnsi="Arial" w:cs="Arial"/>
        <w:sz w:val="14"/>
        <w:szCs w:val="14"/>
      </w:rPr>
    </w:pPr>
    <w:r>
      <w:rPr>
        <w:rFonts w:ascii="Arial" w:hAnsi="Arial" w:cs="Arial"/>
        <w:color w:val="000000"/>
        <w:sz w:val="14"/>
        <w:szCs w:val="14"/>
      </w:rPr>
      <w:t>January 2021</w:t>
    </w:r>
    <w:r w:rsidR="00285EEC" w:rsidRPr="00285EEC">
      <w:rPr>
        <w:rFonts w:ascii="Arial" w:hAnsi="Arial" w:cs="Arial"/>
        <w:color w:val="000000"/>
        <w:sz w:val="14"/>
        <w:szCs w:val="14"/>
      </w:rPr>
      <w:t xml:space="preserve">.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2337" w14:textId="77777777" w:rsidR="00335C4C" w:rsidRDefault="00335C4C" w:rsidP="003F1804">
      <w:r>
        <w:separator/>
      </w:r>
    </w:p>
  </w:footnote>
  <w:footnote w:type="continuationSeparator" w:id="0">
    <w:p w14:paraId="2FC8A693" w14:textId="77777777" w:rsidR="00335C4C" w:rsidRDefault="00335C4C"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B67"/>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1C026D"/>
    <w:multiLevelType w:val="multilevel"/>
    <w:tmpl w:val="74B4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B5ECD"/>
    <w:multiLevelType w:val="multilevel"/>
    <w:tmpl w:val="41C45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122100"/>
    <w:multiLevelType w:val="multilevel"/>
    <w:tmpl w:val="5FC68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6E707C"/>
    <w:multiLevelType w:val="multilevel"/>
    <w:tmpl w:val="2F26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10306"/>
    <w:multiLevelType w:val="multilevel"/>
    <w:tmpl w:val="70E46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345FF7"/>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5F6AF5"/>
    <w:multiLevelType w:val="multilevel"/>
    <w:tmpl w:val="EA6CC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A60656"/>
    <w:multiLevelType w:val="multilevel"/>
    <w:tmpl w:val="88E8C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80F6E95"/>
    <w:multiLevelType w:val="multilevel"/>
    <w:tmpl w:val="420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71582"/>
    <w:multiLevelType w:val="hybridMultilevel"/>
    <w:tmpl w:val="87F2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519ED"/>
    <w:multiLevelType w:val="multilevel"/>
    <w:tmpl w:val="420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77AC0"/>
    <w:multiLevelType w:val="hybridMultilevel"/>
    <w:tmpl w:val="E48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1EA6"/>
    <w:multiLevelType w:val="multilevel"/>
    <w:tmpl w:val="1AEE8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3DE66AE"/>
    <w:multiLevelType w:val="multilevel"/>
    <w:tmpl w:val="EF368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1F7951"/>
    <w:multiLevelType w:val="multilevel"/>
    <w:tmpl w:val="EBEC5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143B08"/>
    <w:multiLevelType w:val="hybridMultilevel"/>
    <w:tmpl w:val="C4CE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C4DB4"/>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D21017"/>
    <w:multiLevelType w:val="multilevel"/>
    <w:tmpl w:val="E88E0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06A2C8D"/>
    <w:multiLevelType w:val="multilevel"/>
    <w:tmpl w:val="A4A60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0AE5D2B"/>
    <w:multiLevelType w:val="multilevel"/>
    <w:tmpl w:val="21DC6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85A5025"/>
    <w:multiLevelType w:val="multilevel"/>
    <w:tmpl w:val="D5FEF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87A1A6D"/>
    <w:multiLevelType w:val="hybridMultilevel"/>
    <w:tmpl w:val="211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025FD"/>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F3D601D"/>
    <w:multiLevelType w:val="multilevel"/>
    <w:tmpl w:val="0600A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2B2D86"/>
    <w:multiLevelType w:val="hybridMultilevel"/>
    <w:tmpl w:val="73C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C467C"/>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F4C132A"/>
    <w:multiLevelType w:val="multilevel"/>
    <w:tmpl w:val="C7140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7C06D0"/>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A9F753D"/>
    <w:multiLevelType w:val="multilevel"/>
    <w:tmpl w:val="B1080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26"/>
  </w:num>
  <w:num w:numId="3">
    <w:abstractNumId w:val="2"/>
  </w:num>
  <w:num w:numId="4">
    <w:abstractNumId w:val="19"/>
  </w:num>
  <w:num w:numId="5">
    <w:abstractNumId w:val="25"/>
  </w:num>
  <w:num w:numId="6">
    <w:abstractNumId w:val="9"/>
  </w:num>
  <w:num w:numId="7">
    <w:abstractNumId w:val="5"/>
  </w:num>
  <w:num w:numId="8">
    <w:abstractNumId w:val="21"/>
  </w:num>
  <w:num w:numId="9">
    <w:abstractNumId w:val="27"/>
  </w:num>
  <w:num w:numId="10">
    <w:abstractNumId w:val="28"/>
  </w:num>
  <w:num w:numId="11">
    <w:abstractNumId w:val="3"/>
  </w:num>
  <w:num w:numId="12">
    <w:abstractNumId w:val="22"/>
  </w:num>
  <w:num w:numId="13">
    <w:abstractNumId w:val="15"/>
  </w:num>
  <w:num w:numId="14">
    <w:abstractNumId w:val="14"/>
  </w:num>
  <w:num w:numId="15">
    <w:abstractNumId w:val="20"/>
  </w:num>
  <w:num w:numId="16">
    <w:abstractNumId w:val="29"/>
  </w:num>
  <w:num w:numId="17">
    <w:abstractNumId w:val="8"/>
  </w:num>
  <w:num w:numId="18">
    <w:abstractNumId w:val="0"/>
  </w:num>
  <w:num w:numId="19">
    <w:abstractNumId w:val="18"/>
  </w:num>
  <w:num w:numId="20">
    <w:abstractNumId w:val="1"/>
  </w:num>
  <w:num w:numId="21">
    <w:abstractNumId w:val="4"/>
  </w:num>
  <w:num w:numId="22">
    <w:abstractNumId w:val="24"/>
  </w:num>
  <w:num w:numId="23">
    <w:abstractNumId w:val="23"/>
  </w:num>
  <w:num w:numId="24">
    <w:abstractNumId w:val="30"/>
  </w:num>
  <w:num w:numId="25">
    <w:abstractNumId w:val="17"/>
  </w:num>
  <w:num w:numId="26">
    <w:abstractNumId w:val="7"/>
  </w:num>
  <w:num w:numId="27">
    <w:abstractNumId w:val="16"/>
  </w:num>
  <w:num w:numId="28">
    <w:abstractNumId w:val="11"/>
  </w:num>
  <w:num w:numId="29">
    <w:abstractNumId w:val="13"/>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421DD"/>
    <w:rsid w:val="0008196B"/>
    <w:rsid w:val="000917E5"/>
    <w:rsid w:val="000C1B33"/>
    <w:rsid w:val="000F479B"/>
    <w:rsid w:val="00161EE5"/>
    <w:rsid w:val="001A1581"/>
    <w:rsid w:val="001B7236"/>
    <w:rsid w:val="0026447A"/>
    <w:rsid w:val="00285EEC"/>
    <w:rsid w:val="002A6C14"/>
    <w:rsid w:val="002D228C"/>
    <w:rsid w:val="003309AF"/>
    <w:rsid w:val="00335C4C"/>
    <w:rsid w:val="00381F1F"/>
    <w:rsid w:val="003B6EE9"/>
    <w:rsid w:val="003C7136"/>
    <w:rsid w:val="003F1804"/>
    <w:rsid w:val="0042053E"/>
    <w:rsid w:val="00432CD9"/>
    <w:rsid w:val="00434742"/>
    <w:rsid w:val="00461440"/>
    <w:rsid w:val="004C2283"/>
    <w:rsid w:val="004E4823"/>
    <w:rsid w:val="00582D16"/>
    <w:rsid w:val="00586674"/>
    <w:rsid w:val="005A4C30"/>
    <w:rsid w:val="005D6221"/>
    <w:rsid w:val="006A2447"/>
    <w:rsid w:val="006A74B6"/>
    <w:rsid w:val="007E5BF9"/>
    <w:rsid w:val="00825AE5"/>
    <w:rsid w:val="00827C22"/>
    <w:rsid w:val="00897C87"/>
    <w:rsid w:val="008A2E2E"/>
    <w:rsid w:val="008D03CC"/>
    <w:rsid w:val="008D06D6"/>
    <w:rsid w:val="009423EF"/>
    <w:rsid w:val="00971B47"/>
    <w:rsid w:val="009C767B"/>
    <w:rsid w:val="00B61821"/>
    <w:rsid w:val="00B7448A"/>
    <w:rsid w:val="00BE797E"/>
    <w:rsid w:val="00C63EA5"/>
    <w:rsid w:val="00C922CF"/>
    <w:rsid w:val="00CE1AEA"/>
    <w:rsid w:val="00D006BC"/>
    <w:rsid w:val="00D16749"/>
    <w:rsid w:val="00D224D2"/>
    <w:rsid w:val="00D524C2"/>
    <w:rsid w:val="00DA131C"/>
    <w:rsid w:val="00DB4F50"/>
    <w:rsid w:val="00DE0A94"/>
    <w:rsid w:val="00E0263C"/>
    <w:rsid w:val="00E5346B"/>
    <w:rsid w:val="00E82BD2"/>
    <w:rsid w:val="00E96C21"/>
    <w:rsid w:val="00F16A4C"/>
    <w:rsid w:val="00F72ADA"/>
    <w:rsid w:val="00FC0F43"/>
    <w:rsid w:val="00FC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 w:type="character" w:customStyle="1" w:styleId="Heading4Char">
    <w:name w:val="Heading 4 Char"/>
    <w:basedOn w:val="DefaultParagraphFont"/>
    <w:link w:val="Heading4"/>
    <w:uiPriority w:val="9"/>
    <w:semiHidden/>
    <w:rsid w:val="0026447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69535">
      <w:bodyDiv w:val="1"/>
      <w:marLeft w:val="0"/>
      <w:marRight w:val="0"/>
      <w:marTop w:val="0"/>
      <w:marBottom w:val="0"/>
      <w:divBdr>
        <w:top w:val="none" w:sz="0" w:space="0" w:color="auto"/>
        <w:left w:val="none" w:sz="0" w:space="0" w:color="auto"/>
        <w:bottom w:val="none" w:sz="0" w:space="0" w:color="auto"/>
        <w:right w:val="none" w:sz="0" w:space="0" w:color="auto"/>
      </w:divBdr>
    </w:div>
    <w:div w:id="554782238">
      <w:bodyDiv w:val="1"/>
      <w:marLeft w:val="0"/>
      <w:marRight w:val="0"/>
      <w:marTop w:val="0"/>
      <w:marBottom w:val="0"/>
      <w:divBdr>
        <w:top w:val="none" w:sz="0" w:space="0" w:color="auto"/>
        <w:left w:val="none" w:sz="0" w:space="0" w:color="auto"/>
        <w:bottom w:val="none" w:sz="0" w:space="0" w:color="auto"/>
        <w:right w:val="none" w:sz="0" w:space="0" w:color="auto"/>
      </w:divBdr>
    </w:div>
    <w:div w:id="744255851">
      <w:bodyDiv w:val="1"/>
      <w:marLeft w:val="0"/>
      <w:marRight w:val="0"/>
      <w:marTop w:val="0"/>
      <w:marBottom w:val="0"/>
      <w:divBdr>
        <w:top w:val="none" w:sz="0" w:space="0" w:color="auto"/>
        <w:left w:val="none" w:sz="0" w:space="0" w:color="auto"/>
        <w:bottom w:val="none" w:sz="0" w:space="0" w:color="auto"/>
        <w:right w:val="none" w:sz="0" w:space="0" w:color="auto"/>
      </w:divBdr>
    </w:div>
    <w:div w:id="1403406892">
      <w:bodyDiv w:val="1"/>
      <w:marLeft w:val="0"/>
      <w:marRight w:val="0"/>
      <w:marTop w:val="0"/>
      <w:marBottom w:val="0"/>
      <w:divBdr>
        <w:top w:val="none" w:sz="0" w:space="0" w:color="auto"/>
        <w:left w:val="none" w:sz="0" w:space="0" w:color="auto"/>
        <w:bottom w:val="none" w:sz="0" w:space="0" w:color="auto"/>
        <w:right w:val="none" w:sz="0" w:space="0" w:color="auto"/>
      </w:divBdr>
    </w:div>
    <w:div w:id="1406027316">
      <w:bodyDiv w:val="1"/>
      <w:marLeft w:val="0"/>
      <w:marRight w:val="0"/>
      <w:marTop w:val="0"/>
      <w:marBottom w:val="0"/>
      <w:divBdr>
        <w:top w:val="none" w:sz="0" w:space="0" w:color="auto"/>
        <w:left w:val="none" w:sz="0" w:space="0" w:color="auto"/>
        <w:bottom w:val="none" w:sz="0" w:space="0" w:color="auto"/>
        <w:right w:val="none" w:sz="0" w:space="0" w:color="auto"/>
      </w:divBdr>
    </w:div>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rt.educationcommission.org/downloads/" TargetMode="External"/><Relationship Id="rId13" Type="http://schemas.openxmlformats.org/officeDocument/2006/relationships/hyperlink" Target="https://en.unesco.org/gem-report/report/2014/teaching-and-learning-achieving-quality-all" TargetMode="External"/><Relationship Id="rId18" Type="http://schemas.openxmlformats.org/officeDocument/2006/relationships/hyperlink" Target="https://eric.ed.gov/?id=EJ9687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videcampbell.files.wordpress.com/2015/08/7-voice.pdf" TargetMode="External"/><Relationship Id="rId7" Type="http://schemas.openxmlformats.org/officeDocument/2006/relationships/endnotes" Target="endnotes.xml"/><Relationship Id="rId12" Type="http://schemas.openxmlformats.org/officeDocument/2006/relationships/hyperlink" Target="https://en.unesco.org/gem-report/report/2014/teaching-and-learning-achieving-quality-all" TargetMode="External"/><Relationship Id="rId17" Type="http://schemas.openxmlformats.org/officeDocument/2006/relationships/hyperlink" Target="https://www.tandfonline.com/doi/abs/10.1080/135752704100016933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esdoc.unesco.org/ark:/48223/pf0000223115" TargetMode="External"/><Relationship Id="rId20" Type="http://schemas.openxmlformats.org/officeDocument/2006/relationships/hyperlink" Target="https://unesdoc.unesco.org/ark:/48223/pf00002658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gem-report/report/2014/teaching-and-learning-achieving-quality-all" TargetMode="External"/><Relationship Id="rId24" Type="http://schemas.openxmlformats.org/officeDocument/2006/relationships/hyperlink" Target="https://s3.amazonaws.com/inee-assets/resources/03a_ECD_PB_Social_Cohesion_brief_v2_ENGLISH.pdf" TargetMode="External"/><Relationship Id="rId5" Type="http://schemas.openxmlformats.org/officeDocument/2006/relationships/webSettings" Target="webSettings.xml"/><Relationship Id="rId15" Type="http://schemas.openxmlformats.org/officeDocument/2006/relationships/hyperlink" Target="https://unesdoc.unesco.org/ark:/48223/pf0000191338" TargetMode="External"/><Relationship Id="rId23" Type="http://schemas.openxmlformats.org/officeDocument/2006/relationships/hyperlink" Target="https://www.semanticscholar.org/paper/A-case-study-of-the-first-language-component-in-Dekker/e493471d59a42d637cd67ed52f973d46d75d9a3f" TargetMode="External"/><Relationship Id="rId28" Type="http://schemas.openxmlformats.org/officeDocument/2006/relationships/theme" Target="theme/theme1.xml"/><Relationship Id="rId10" Type="http://schemas.openxmlformats.org/officeDocument/2006/relationships/hyperlink" Target="http://www.adeanet.org/adea/downloadcenter/Ouga/B3_1_MTBLE_en.pdf" TargetMode="External"/><Relationship Id="rId19" Type="http://schemas.openxmlformats.org/officeDocument/2006/relationships/hyperlink" Target="https://www.researchgate.net/publication/51868761_Context_Modularity_of_Human_Altruism" TargetMode="External"/><Relationship Id="rId4" Type="http://schemas.openxmlformats.org/officeDocument/2006/relationships/settings" Target="settings.xml"/><Relationship Id="rId9" Type="http://schemas.openxmlformats.org/officeDocument/2006/relationships/hyperlink" Target="https://www.semanticscholar.org/paper/Home-language-and-education-in-the-developing-world-Smits-Huisman/399912f9eef5467c9681f1a6aa0d2fa1373f471d" TargetMode="External"/><Relationship Id="rId14" Type="http://schemas.openxmlformats.org/officeDocument/2006/relationships/hyperlink" Target="https://en.unesco.org/gem-report/report/2014/teaching-and-learning-achieving-quality-all" TargetMode="External"/><Relationship Id="rId22" Type="http://schemas.openxmlformats.org/officeDocument/2006/relationships/hyperlink" Target="http://academics.wellesley.edu/Economics/mcewan/PDF/guatemala.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Ana Laura Guzman Ortiz</cp:lastModifiedBy>
  <cp:revision>5</cp:revision>
  <dcterms:created xsi:type="dcterms:W3CDTF">2021-01-07T21:40:00Z</dcterms:created>
  <dcterms:modified xsi:type="dcterms:W3CDTF">2021-05-13T11:41:00Z</dcterms:modified>
</cp:coreProperties>
</file>